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2015 21 vom 26. September 2017</w:t>
      </w:r>
    </w:p>
    <w:p>
      <w:r>
        <w:t>GR Gerichte, 2017-09-26, DE</w:t>
      </w:r>
    </w:p>
    <w:p>
      <w:r>
        <w:rPr>
          <w:b/>
        </w:rPr>
        <w:t xml:space="preserve">Quelle: </w:t>
      </w:r>
      <w:r>
        <w:t>https://mcp.opencaselaw.ch/entscheid/gr_gerichte_ZK1 2015 21</w:t>
      </w:r>
    </w:p>
    <w:p>
      <w:r>
        <w:t>FR: GR_GERICHTE ZK1 2015 21 du 26 septembre 2017</w:t>
      </w:r>
    </w:p>
    <w:p>
      <w:r>
        <w:t>IT: GR_GERICHTE ZK1 2015 21 del 26 settembre 2017</w:t>
      </w:r>
    </w:p>
    <w:p>
      <w:pPr>
        <w:pStyle w:val="Heading2"/>
      </w:pPr>
      <w:r>
        <w:t>Regeste</w:t>
      </w:r>
    </w:p>
    <w:p>
      <w:r>
        <w:t>Nebenfolgen der Ehescheidung | Berufung ZGB Eherecht</w:t>
      </w:r>
    </w:p>
    <w:p>
      <w:pPr>
        <w:pStyle w:val="Heading2"/>
      </w:pPr>
      <w:r>
        <w:t>Erwägungen</w:t>
      </w:r>
    </w:p>
    <w:p>
      <w:r>
        <w:rPr>
          <w:b/>
        </w:rPr>
        <w:t>E. 6</w:t>
      </w:r>
    </w:p>
    <w:p>
      <w:r>
        <w:t>Die Vorinstanz auferlegte die Verfahrenskosten zu 1/4 dem Kläger und zu 3/4 der Beklagten und verpflichtete Letztere, Ersterem eine reduzierte ausseramt- liche Entschädigung von CHF 7'210.95 zu bezahlen. Die Berufungsklägerin bean- tragt für den Fall der Gutheissung ihrer Berufung, die vorinstanzlichen Kosten zu 3/4 dem Berufungsbeklagten und zu 1/4 ihr selbst aufzuerlegen. Ferner sei der Berufungsbeklagte zu verpflichten, sie für das Verfahren vor erster Instanz mit CHF 8'000.00 zu entschädigen. Demgegenüber stellt der Anschlussberufungsklä- ger den Antrag, die Berufungsklägerin sei zu verpflichten, sämtliche Kosten des erstinstanzlichen Verfahrens sowie die Kosten des Berufungsverfahrens zu tragen und ihn für beide Verfahren ausseramtlich zu entschädigen.</w:t>
      </w:r>
    </w:p>
    <w:p>
      <w:r>
        <w:t>Seite 28 — 31</w:t>
      </w:r>
    </w:p>
    <w:p>
      <w:r>
        <w:rPr>
          <w:b/>
        </w:rPr>
        <w:t>E. 6.1</w:t>
      </w:r>
    </w:p>
    <w:p>
      <w:r>
        <w:t>Da der angefochtene Entscheid nach dem Gesagten teilweise zu korrigie- ren ist, sind auch die Kosten der Vorinstanz neu zu verteilen (Art. 318 Abs. 3 ZPO). Gemäss Art. 106 Abs. 1 ZPO werden die Prozesskosten, bestehend aus den Gerichtskosten und der Parteientschädigung (Art. 95 Abs. 1 ZPO), der unter- liegenden Partei auferlegt. Hat keine Partei vollständig obsiegt, so werden die Prozesskosten nach dem Ausgang des Verfahrens verteilt (Art. 106 Abs. 2 ZPO). Dabei gilt es zu beachten, dass das Gericht namentlich in familienrechtlichen Pro- zessen von diesem Grundsatz abweichen und die Prozesskosten unter Berück- sichtigung weiterer Faktoren nach Ermessen verteilen kann (Art. 107 Abs. 1 lit. c ZPO).</w:t>
      </w:r>
    </w:p>
    <w:p>
      <w:r>
        <w:rPr>
          <w:b/>
        </w:rPr>
        <w:t>E. 6.2</w:t>
      </w:r>
    </w:p>
    <w:p>
      <w:r>
        <w:t>Im vorinstanzlichen Verfahren stellte der Kläger Antrag auf Scheidung der Ehe und auf Verpflichtung, der Beklagten gestützt auf Art. 124 ZGB einen Vorsor- geausgleich in Form einer Rente von CHF 2'074.00 sowie eine güterrechtliche Ausgleichszahlung von CHF 4'665.60 zu leisten; im Übrigen seien die Anträge der Beklagten abzuweisen. Derweil beantragte die Beklagte, der Kläger sei zu ver- pflichten, ihr gestützt auf Art. 124 ZGB die Hälfte der von ihm bezogenen Rente der Pensionskasse der Stadt O.1_____, zurzeit CHF 2'074.00, zu überweisen, und ihr gestützt auf Art. 125 ZGB einen monatlichen Betrag von CHF 2'000.00 zu be- zahlen. Schliesslich habe der Kläger ihr eine güterrechtliche Ausgleichszahlung in Höhe von CHF 710'650.00 zu leisten. Unter Berücksichtigung des Ausgangs des vorliegenden Berufungsverfahrens vermochte die Beklagte mit ihrem Antrag zum nachehelichen Unterhalt zu rund einem Drittel und mit demjenigen zur güterrecht- lichen Auseinandersetzung zu weniger als einem Drittel durchzudringen. Ausge- hend hiervon rechtfertigt es sich daher, die vorinstanzlichen Gerichtskosten zu 2/3 der Beklagten und zu 1/3 dem Kläger aufzuerlegen. Im selben Verhältnis erfolgt die Festsetzung der Parteientschädigung. Diese er- folgt gemäss neuerer Praxis des Kantonsgerichts von Graubünden nach der sog. Quoten- beziehungsweise Bruchteilsverrechnung. Dabei wird zunächst das an- teilsmässige Unterliegen und Obsiegen ermittelt. Die Bruchteile bzw. Quoten des jeweiligen Obsiegens beider Parteien werden sodann gegenseitig verrechnet. Die mehrheitlich obsiegende Partei erhält als Parteientschädigung schliesslich die mit der Differenz der verrechneten Bruchteile bzw. Quoten multiplizierte Honorarforde- rung. Dementsprechend hat die Beklagte dem Kläger eine Parteientschädigung im Umfang von 1/3 des geltend gemachten und notwendigen Honorars zu bezahlen. Mit Honorarnote vom 16. Dezember 2014 (Akten BG Landquart, act. I./5) machte der Rechtsvertreter des Klägers für das erstinstanzliche Verfahren vor Bezirksge- richt Landquart einen entschädigungspflichtigen Aufwand von insgesamt 53.5</w:t>
      </w:r>
    </w:p>
    <w:p>
      <w:r>
        <w:t>Seite 29 — 31 Stunden zu einem Stundenansatz von CHF 240.00 zuzüglich Spesen und Mehr- wertsteuer, insgesamt CHF 14'421.90, geltend. Die Höhe der in Rechnung gestell- ten Aufwendungen wurde von der Gegenseite nicht gerügt und erscheint gesamt- haft betrachtet angemessen. Folglich hat die Beklagte den Kläger für das vorin- stanzliche Verfahren mit CHF 4'807.30 (inkl. Spesen und MwSt.) aussergerichtlich zu entschädigen.</w:t>
      </w:r>
    </w:p>
    <w:p>
      <w:r>
        <w:rPr>
          <w:b/>
        </w:rPr>
        <w:t>E. 6.3</w:t>
      </w:r>
    </w:p>
    <w:p>
      <w:r>
        <w:t>Im vorliegenden Berufungs- und Anschlussberufungsverfahren beantragte die Berufungsklägerin die Zusprechung eines nachehelichen Unterhaltsbeitrags in Höhe von CHF 1'500.00 anstelle des von der Vorinstanz zugesprochenen von CHF 700.00 sowie eine güterrechtliche Ausgleichszahlung in Höhe von CHF 666'740.00 nebst Verzugszinsen, wohingegen der Anschlussberufungskläger die ersatzlose Aufhebung der nachehelichen Unterhaltspflicht und eine güterrechtliche Ausgleichszahlung zu Lasten der Berufungsklägerin in Höhe von CHF 50'712.40 verlangte. Diesbezüglich ist festzustellen, dass in Bezug auf den nachehelichen Unterhalt weder dem Begehren der einen noch dem Begehren der anderen ent- sprochen wird. Hinsichtlich der güterrechtlichen Auseinandersetzung vermochte die Berufungsklägerin mit ihrer Forderung zu rund einem Drittel durchzudringen. Es erscheint deshalb auch für das Rechtsmittelverfahren angemessen, die Verfah- renskosten, welche vorliegend auf CHF 8'000.00 festgesetzt werden (Art. 9 der Verordnung über die Gerichtsgebühren in Zivilverfahren [VGZ; BR 320.210]), im Verhältnis von 2/3 zulasten der Berufungsklägerin und von 1/3 zulasten des Beru- fungsbeklagten zu verteilen. In Anwendung der Quoten- beziehungsweise Bruchteilsverrechnung hat die Beru- fungsklägerin den Berufungsbeklagten für das Berufungs- und Anschlussberu- fungsverfahren im Umfang von 1/3 des geltend gemachten und notwendigen Ho- norars aussergerichtlich zu entschädigen. Mangels Einreichung einer Honorarnote wird die Parteientschädigung nach richterlichem Ermessen festgesetzt (Art. 2 Abs. 1 der Verordnung über die Bemessung des Honorars von Rechtsanwältinnen und Rechtsanwälten [Honorarverordnung, HV; BR 310.250]). Ausgehend von einer Parteientschädigung von pauschal CHF 5'000.00 (inkl. Spesen und MwSt.), wel- che angesichts der sich stellenden Sach- und Rechtsfragen sowie unter Berück- sichtigung der eingereichten Rechtsschriften angemessen erscheint, beläuft sich die aussergerichtliche Entschädigung zugunsten des Berufungsbeklagten somit auf CHF 1'666.65 (inkl. Spesen und MwSt.).</w:t>
      </w:r>
    </w:p>
    <w:p>
      <w:r>
        <w:t>Seite 30 — 31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